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2514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67533041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7D6F0C18" w14:textId="77777777" w:rsidR="00C27B23" w:rsidRPr="003D4260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3D4260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282FF6CC" w14:textId="5CE7D23C" w:rsidR="00C27B23" w:rsidRPr="003D4260" w:rsidRDefault="00F901B7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1</w:t>
      </w:r>
      <w:r w:rsidR="00BA1FF9">
        <w:rPr>
          <w:rFonts w:ascii="Titillium" w:hAnsi="Titillium"/>
          <w:sz w:val="20"/>
          <w:szCs w:val="20"/>
        </w:rPr>
        <w:t>6</w:t>
      </w:r>
      <w:r w:rsidR="00BE0E55" w:rsidRPr="003D4260">
        <w:rPr>
          <w:rFonts w:ascii="Titillium" w:hAnsi="Titillium"/>
          <w:sz w:val="20"/>
          <w:szCs w:val="20"/>
        </w:rPr>
        <w:t>/06/2021</w:t>
      </w:r>
    </w:p>
    <w:p w14:paraId="531BB02C" w14:textId="776AEC1B" w:rsidR="00C27B23" w:rsidRPr="0041405A" w:rsidRDefault="00FC7906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 w:rsidRPr="003D4260">
        <w:rPr>
          <w:rFonts w:ascii="Titillium" w:hAnsi="Titillium"/>
          <w:sz w:val="20"/>
          <w:szCs w:val="20"/>
        </w:rPr>
        <w:t>I</w:t>
      </w:r>
      <w:r w:rsidR="0048249A" w:rsidRPr="003D4260">
        <w:rPr>
          <w:rFonts w:ascii="Titillium" w:hAnsi="Titillium"/>
          <w:sz w:val="20"/>
          <w:szCs w:val="20"/>
        </w:rPr>
        <w:t xml:space="preserve">ndicare la </w:t>
      </w:r>
      <w:r w:rsidR="0048249A" w:rsidRPr="003D4260">
        <w:rPr>
          <w:rFonts w:ascii="Titillium" w:hAnsi="Titillium"/>
          <w:sz w:val="20"/>
          <w:szCs w:val="20"/>
          <w:u w:val="single"/>
        </w:rPr>
        <w:t>data di inizio e di fine</w:t>
      </w:r>
      <w:r w:rsidRPr="003D4260">
        <w:rPr>
          <w:rFonts w:ascii="Titillium" w:hAnsi="Titillium"/>
          <w:sz w:val="20"/>
          <w:szCs w:val="20"/>
        </w:rPr>
        <w:t xml:space="preserve"> della rilevazione</w:t>
      </w:r>
      <w:r w:rsidR="00BE0E55" w:rsidRPr="003D4260">
        <w:rPr>
          <w:rFonts w:ascii="Titillium" w:hAnsi="Titillium"/>
          <w:sz w:val="20"/>
          <w:szCs w:val="20"/>
        </w:rPr>
        <w:t xml:space="preserve">: </w:t>
      </w:r>
      <w:r w:rsidR="00F901B7">
        <w:rPr>
          <w:rFonts w:ascii="Titillium" w:hAnsi="Titillium"/>
          <w:sz w:val="20"/>
          <w:szCs w:val="20"/>
        </w:rPr>
        <w:t>1</w:t>
      </w:r>
      <w:r w:rsidR="00BA1FF9">
        <w:rPr>
          <w:rFonts w:ascii="Titillium" w:hAnsi="Titillium"/>
          <w:sz w:val="20"/>
          <w:szCs w:val="20"/>
        </w:rPr>
        <w:t>6</w:t>
      </w:r>
      <w:r w:rsidR="00BE0E55" w:rsidRPr="003D4260">
        <w:rPr>
          <w:rFonts w:ascii="Titillium" w:hAnsi="Titillium"/>
          <w:sz w:val="20"/>
          <w:szCs w:val="20"/>
        </w:rPr>
        <w:t>/06/2021</w:t>
      </w:r>
    </w:p>
    <w:p w14:paraId="68426D6F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576D3947" w14:textId="77777777" w:rsidR="00C27B23" w:rsidRPr="00BE0E55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trike/>
          <w:sz w:val="20"/>
          <w:szCs w:val="20"/>
        </w:rPr>
      </w:pPr>
      <w:r w:rsidRPr="00BE0E55">
        <w:rPr>
          <w:rFonts w:ascii="Titillium" w:hAnsi="Titillium"/>
          <w:b/>
          <w:i/>
          <w:strike/>
          <w:sz w:val="20"/>
          <w:szCs w:val="20"/>
        </w:rPr>
        <w:t xml:space="preserve">Estensione della rilevazione (nel </w:t>
      </w:r>
      <w:r w:rsidR="00FC7906" w:rsidRPr="00BE0E55">
        <w:rPr>
          <w:rFonts w:ascii="Titillium" w:hAnsi="Titillium"/>
          <w:b/>
          <w:i/>
          <w:strike/>
          <w:sz w:val="20"/>
          <w:szCs w:val="20"/>
        </w:rPr>
        <w:t xml:space="preserve">solo </w:t>
      </w:r>
      <w:r w:rsidRPr="00BE0E55">
        <w:rPr>
          <w:rFonts w:ascii="Titillium" w:hAnsi="Titillium"/>
          <w:b/>
          <w:i/>
          <w:strike/>
          <w:sz w:val="20"/>
          <w:szCs w:val="20"/>
        </w:rPr>
        <w:t>caso di ammin</w:t>
      </w:r>
      <w:r w:rsidR="007A107C" w:rsidRPr="00BE0E55">
        <w:rPr>
          <w:rFonts w:ascii="Titillium" w:hAnsi="Titillium"/>
          <w:b/>
          <w:i/>
          <w:strike/>
          <w:sz w:val="20"/>
          <w:szCs w:val="20"/>
        </w:rPr>
        <w:t>istrazioni</w:t>
      </w:r>
      <w:r w:rsidR="00FC7906" w:rsidRPr="00BE0E55">
        <w:rPr>
          <w:rFonts w:ascii="Titillium" w:hAnsi="Titillium"/>
          <w:b/>
          <w:i/>
          <w:strike/>
          <w:sz w:val="20"/>
          <w:szCs w:val="20"/>
        </w:rPr>
        <w:t>/enti</w:t>
      </w:r>
      <w:r w:rsidR="007A107C" w:rsidRPr="00BE0E55">
        <w:rPr>
          <w:rFonts w:ascii="Titillium" w:hAnsi="Titillium"/>
          <w:b/>
          <w:i/>
          <w:strike/>
          <w:sz w:val="20"/>
          <w:szCs w:val="20"/>
        </w:rPr>
        <w:t xml:space="preserve"> con uffici periferici)</w:t>
      </w:r>
    </w:p>
    <w:p w14:paraId="143B3F99" w14:textId="77777777" w:rsidR="00C27B23" w:rsidRPr="00BE0E55" w:rsidRDefault="00C27B23">
      <w:pPr>
        <w:pStyle w:val="Paragrafoelenco"/>
        <w:spacing w:after="0"/>
        <w:ind w:left="0" w:firstLine="0"/>
        <w:rPr>
          <w:rFonts w:ascii="Titillium" w:hAnsi="Titillium"/>
          <w:b/>
          <w:strike/>
          <w:sz w:val="20"/>
          <w:szCs w:val="20"/>
          <w:u w:val="single"/>
        </w:rPr>
      </w:pPr>
    </w:p>
    <w:p w14:paraId="40038C26" w14:textId="77777777" w:rsidR="00C27B23" w:rsidRPr="00BE0E55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trike/>
          <w:sz w:val="20"/>
          <w:szCs w:val="20"/>
        </w:rPr>
      </w:pPr>
      <w:r w:rsidRPr="00BE0E55">
        <w:rPr>
          <w:rFonts w:ascii="Titillium" w:hAnsi="Titillium"/>
          <w:strike/>
          <w:sz w:val="20"/>
          <w:szCs w:val="20"/>
        </w:rPr>
        <w:t>Indicare il numero complessivo degli uffici periferici esistenti</w:t>
      </w:r>
      <w:r w:rsidR="00713BFD" w:rsidRPr="00BE0E55">
        <w:rPr>
          <w:rFonts w:ascii="Titillium" w:hAnsi="Titillium"/>
          <w:strike/>
          <w:sz w:val="20"/>
          <w:szCs w:val="20"/>
        </w:rPr>
        <w:t xml:space="preserve"> e, se diverse, le tipologie di uffici periferici</w:t>
      </w:r>
      <w:r w:rsidRPr="00BE0E55">
        <w:rPr>
          <w:rFonts w:ascii="Titillium" w:hAnsi="Titillium"/>
          <w:strike/>
          <w:sz w:val="20"/>
          <w:szCs w:val="20"/>
        </w:rPr>
        <w:t>.</w:t>
      </w:r>
    </w:p>
    <w:p w14:paraId="63247727" w14:textId="77777777" w:rsidR="00C27B23" w:rsidRPr="00BE0E55" w:rsidRDefault="0048249A" w:rsidP="00713BFD">
      <w:pPr>
        <w:pStyle w:val="Paragrafoelenco"/>
        <w:spacing w:after="0" w:line="360" w:lineRule="auto"/>
        <w:ind w:left="0" w:firstLine="0"/>
        <w:rPr>
          <w:rFonts w:ascii="Titillium" w:hAnsi="Titillium"/>
          <w:strike/>
          <w:sz w:val="20"/>
          <w:szCs w:val="20"/>
        </w:rPr>
      </w:pPr>
      <w:r w:rsidRPr="00BE0E55">
        <w:rPr>
          <w:rFonts w:ascii="Titillium" w:hAnsi="Titillium"/>
          <w:strike/>
          <w:sz w:val="20"/>
          <w:szCs w:val="20"/>
        </w:rPr>
        <w:t>Per la formazione del campione di uffici periferici su cui effettuare la rilevazione, indicare</w:t>
      </w:r>
      <w:r w:rsidR="00713BFD" w:rsidRPr="00BE0E55">
        <w:rPr>
          <w:rFonts w:ascii="Titillium" w:hAnsi="Titillium"/>
          <w:strike/>
          <w:sz w:val="20"/>
          <w:szCs w:val="20"/>
        </w:rPr>
        <w:t xml:space="preserve"> </w:t>
      </w:r>
      <w:r w:rsidRPr="00BE0E55">
        <w:rPr>
          <w:rFonts w:ascii="Titillium" w:hAnsi="Titillium"/>
          <w:strike/>
          <w:sz w:val="20"/>
          <w:szCs w:val="20"/>
        </w:rPr>
        <w:t>il criterio di selezione del campione</w:t>
      </w:r>
      <w:r w:rsidR="00713BFD" w:rsidRPr="00BE0E55">
        <w:rPr>
          <w:rFonts w:ascii="Titillium" w:hAnsi="Titillium"/>
          <w:strike/>
          <w:sz w:val="20"/>
          <w:szCs w:val="20"/>
        </w:rPr>
        <w:t>.</w:t>
      </w:r>
    </w:p>
    <w:p w14:paraId="08FBFBD9" w14:textId="77777777" w:rsidR="00C27B23" w:rsidRPr="0041405A" w:rsidRDefault="00713BFD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 w:rsidRPr="00BE0E55">
        <w:rPr>
          <w:rFonts w:ascii="Titillium" w:hAnsi="Titillium"/>
          <w:strike/>
          <w:sz w:val="20"/>
          <w:szCs w:val="20"/>
        </w:rPr>
        <w:t xml:space="preserve">Riportare </w:t>
      </w:r>
      <w:r w:rsidR="0048249A" w:rsidRPr="00BE0E55">
        <w:rPr>
          <w:rFonts w:ascii="Titillium" w:hAnsi="Titillium"/>
          <w:strike/>
          <w:sz w:val="20"/>
          <w:szCs w:val="20"/>
        </w:rPr>
        <w:t>l’elenco degli uffici periferici</w:t>
      </w:r>
      <w:r w:rsidRPr="00BE0E55">
        <w:rPr>
          <w:rFonts w:ascii="Titillium" w:hAnsi="Titillium"/>
          <w:strike/>
          <w:sz w:val="20"/>
          <w:szCs w:val="20"/>
        </w:rPr>
        <w:t xml:space="preserve"> selezionati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45F95DCB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0A9003CD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51EE74C9" w14:textId="77777777"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procedimento e le modalità seguite per condurre la rilevazione.</w:t>
      </w:r>
    </w:p>
    <w:p w14:paraId="44032E64" w14:textId="77777777" w:rsidR="00C27B23" w:rsidRPr="003D4260" w:rsidRDefault="0048249A" w:rsidP="007A107C">
      <w:pPr>
        <w:pStyle w:val="Default"/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A titolo esemplificativo e non esaustivo, si indicano alcune modalità, non alternative fra loro, che potrebbero essere </w:t>
      </w:r>
      <w:r w:rsidRPr="003D4260">
        <w:rPr>
          <w:rFonts w:ascii="Titillium" w:hAnsi="Titillium"/>
          <w:sz w:val="20"/>
          <w:szCs w:val="20"/>
        </w:rPr>
        <w:t>seguite:</w:t>
      </w:r>
    </w:p>
    <w:p w14:paraId="29156C06" w14:textId="77777777" w:rsidR="00C27B23" w:rsidRPr="003D4260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3D4260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14:paraId="35DDFB58" w14:textId="77777777" w:rsidR="00C27B23" w:rsidRPr="003D4260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3D4260">
        <w:rPr>
          <w:rFonts w:ascii="Titillium" w:hAnsi="Titillium"/>
          <w:sz w:val="20"/>
          <w:szCs w:val="20"/>
        </w:rPr>
        <w:t>colloqui con i responsabili della trasmissione dei dati;</w:t>
      </w:r>
    </w:p>
    <w:p w14:paraId="20003EA8" w14:textId="77777777" w:rsidR="00C27B23" w:rsidRPr="003D4260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3D4260">
        <w:rPr>
          <w:rFonts w:ascii="Titillium" w:hAnsi="Titillium"/>
          <w:sz w:val="20"/>
          <w:szCs w:val="20"/>
        </w:rPr>
        <w:t>colloqui con i responsabili della pubblicazione dei dati;</w:t>
      </w:r>
    </w:p>
    <w:p w14:paraId="447064C9" w14:textId="0A0E608D" w:rsidR="00C27B23" w:rsidRPr="003D4260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3D4260">
        <w:rPr>
          <w:rFonts w:ascii="Titillium" w:hAnsi="Titillium"/>
          <w:sz w:val="20"/>
          <w:szCs w:val="20"/>
        </w:rPr>
        <w:t xml:space="preserve">verifica </w:t>
      </w:r>
      <w:r w:rsidR="00713BFD" w:rsidRPr="003D4260">
        <w:rPr>
          <w:rFonts w:ascii="Titillium" w:hAnsi="Titillium"/>
          <w:sz w:val="20"/>
          <w:szCs w:val="20"/>
        </w:rPr>
        <w:t xml:space="preserve">diretta </w:t>
      </w:r>
      <w:r w:rsidRPr="003D4260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3D4260">
        <w:rPr>
          <w:rFonts w:ascii="Titillium" w:hAnsi="Titillium"/>
          <w:sz w:val="20"/>
          <w:szCs w:val="20"/>
        </w:rPr>
        <w:t>.</w:t>
      </w:r>
      <w:r w:rsidR="009B2DF6" w:rsidRPr="003D4260">
        <w:rPr>
          <w:rFonts w:ascii="Titillium" w:hAnsi="Titillium"/>
          <w:sz w:val="20"/>
          <w:szCs w:val="20"/>
        </w:rPr>
        <w:t xml:space="preserve"> </w:t>
      </w:r>
    </w:p>
    <w:p w14:paraId="26D73DE0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2A6D7F76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45BF977A" w14:textId="579ABDC8" w:rsidR="00C27B23" w:rsidRPr="00BE0E55" w:rsidRDefault="00BE0E55">
      <w:pPr>
        <w:spacing w:line="360" w:lineRule="auto"/>
        <w:rPr>
          <w:rFonts w:ascii="Titillium" w:hAnsi="Titillium"/>
          <w:bCs/>
          <w:sz w:val="20"/>
          <w:szCs w:val="20"/>
        </w:rPr>
      </w:pPr>
      <w:r w:rsidRPr="003D4260">
        <w:rPr>
          <w:rFonts w:ascii="Titillium" w:hAnsi="Titillium"/>
          <w:bCs/>
          <w:sz w:val="20"/>
          <w:szCs w:val="20"/>
        </w:rPr>
        <w:t xml:space="preserve">Difformità della normativa regionale di riferimento, applicabile alle </w:t>
      </w:r>
      <w:r w:rsidR="00E855D4">
        <w:rPr>
          <w:rFonts w:ascii="Titillium" w:hAnsi="Titillium"/>
          <w:bCs/>
          <w:sz w:val="20"/>
          <w:szCs w:val="20"/>
        </w:rPr>
        <w:t>aziende in house</w:t>
      </w:r>
      <w:r w:rsidRPr="003D4260">
        <w:rPr>
          <w:rFonts w:ascii="Titillium" w:hAnsi="Titillium"/>
          <w:bCs/>
          <w:sz w:val="20"/>
          <w:szCs w:val="20"/>
        </w:rPr>
        <w:t xml:space="preserve"> in tema di Trasparenza, da quella nazionale.</w:t>
      </w:r>
    </w:p>
    <w:p w14:paraId="6222F358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71DE5081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sectPr w:rsidR="00C27B23" w:rsidRPr="0041405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2D35A" w14:textId="77777777" w:rsidR="0036711F" w:rsidRDefault="0036711F">
      <w:pPr>
        <w:spacing w:after="0" w:line="240" w:lineRule="auto"/>
      </w:pPr>
      <w:r>
        <w:separator/>
      </w:r>
    </w:p>
  </w:endnote>
  <w:endnote w:type="continuationSeparator" w:id="0">
    <w:p w14:paraId="06DE11E5" w14:textId="77777777" w:rsidR="0036711F" w:rsidRDefault="0036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15D6E" w14:textId="77777777" w:rsidR="0036711F" w:rsidRDefault="0036711F">
      <w:pPr>
        <w:spacing w:after="0" w:line="240" w:lineRule="auto"/>
      </w:pPr>
      <w:r>
        <w:separator/>
      </w:r>
    </w:p>
  </w:footnote>
  <w:footnote w:type="continuationSeparator" w:id="0">
    <w:p w14:paraId="37EA33E9" w14:textId="77777777" w:rsidR="0036711F" w:rsidRDefault="0036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A167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5DCEF8A4" wp14:editId="6825A09D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65B253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7077060C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212FE9C8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14:paraId="46285507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1452D04D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F2C0E"/>
    <w:rsid w:val="00141BA1"/>
    <w:rsid w:val="0016468A"/>
    <w:rsid w:val="0024134D"/>
    <w:rsid w:val="002C572E"/>
    <w:rsid w:val="0036711F"/>
    <w:rsid w:val="003D4260"/>
    <w:rsid w:val="003E1CF5"/>
    <w:rsid w:val="0041405A"/>
    <w:rsid w:val="00416AD0"/>
    <w:rsid w:val="00421D8C"/>
    <w:rsid w:val="0048249A"/>
    <w:rsid w:val="004833D5"/>
    <w:rsid w:val="004F18CD"/>
    <w:rsid w:val="005172B8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30BC7"/>
    <w:rsid w:val="00955140"/>
    <w:rsid w:val="009A5646"/>
    <w:rsid w:val="009B2DF6"/>
    <w:rsid w:val="009C05D1"/>
    <w:rsid w:val="009C6FAC"/>
    <w:rsid w:val="00A52DF7"/>
    <w:rsid w:val="00AB1A20"/>
    <w:rsid w:val="00AF790D"/>
    <w:rsid w:val="00B779BE"/>
    <w:rsid w:val="00BA1FF9"/>
    <w:rsid w:val="00BE0E55"/>
    <w:rsid w:val="00C27B23"/>
    <w:rsid w:val="00C32BE7"/>
    <w:rsid w:val="00D27496"/>
    <w:rsid w:val="00E855D4"/>
    <w:rsid w:val="00F17BBA"/>
    <w:rsid w:val="00F901B7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7332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massimo manenti</cp:lastModifiedBy>
  <cp:revision>7</cp:revision>
  <cp:lastPrinted>2018-02-28T15:30:00Z</cp:lastPrinted>
  <dcterms:created xsi:type="dcterms:W3CDTF">2021-06-06T09:27:00Z</dcterms:created>
  <dcterms:modified xsi:type="dcterms:W3CDTF">2021-06-13T05:32:00Z</dcterms:modified>
</cp:coreProperties>
</file>